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B44F4" w14:textId="72A5F703" w:rsidR="00F95CD4" w:rsidRPr="00F40D67" w:rsidRDefault="00F97ED3">
      <w:pPr>
        <w:rPr>
          <w:rFonts w:ascii="Aptos Display" w:hAnsi="Aptos Display"/>
          <w:b/>
          <w:bCs/>
        </w:rPr>
      </w:pPr>
      <w:r w:rsidRPr="00F40D67">
        <w:rPr>
          <w:rFonts w:ascii="Aptos Display" w:hAnsi="Aptos Display"/>
          <w:b/>
          <w:bCs/>
        </w:rPr>
        <w:t>Off-Campus Instructional Sites</w:t>
      </w:r>
    </w:p>
    <w:p w14:paraId="793CCEF5" w14:textId="65AAEC09" w:rsidR="00F40D67" w:rsidRDefault="00F97ED3">
      <w:pPr>
        <w:rPr>
          <w:rFonts w:ascii="Aptos Display" w:hAnsi="Aptos Display"/>
        </w:rPr>
      </w:pPr>
      <w:r w:rsidRPr="00F40D67">
        <w:rPr>
          <w:rFonts w:ascii="Aptos Display" w:hAnsi="Aptos Display"/>
        </w:rPr>
        <w:t>The University of Alabama is approved to offer academic instruction at the following off-campus sites. For more information about the</w:t>
      </w:r>
      <w:r w:rsidR="00C431EF" w:rsidRPr="00F40D67">
        <w:rPr>
          <w:rFonts w:ascii="Aptos Display" w:hAnsi="Aptos Display"/>
        </w:rPr>
        <w:t>se</w:t>
      </w:r>
      <w:r w:rsidRPr="00F40D67">
        <w:rPr>
          <w:rFonts w:ascii="Aptos Display" w:hAnsi="Aptos Display"/>
        </w:rPr>
        <w:t xml:space="preserve"> academic programs, please see the linked catalog pages.</w:t>
      </w:r>
    </w:p>
    <w:p w14:paraId="478E8BB9" w14:textId="77777777" w:rsidR="00F40D67" w:rsidRPr="00F40D67" w:rsidRDefault="00F40D67">
      <w:pPr>
        <w:rPr>
          <w:rFonts w:ascii="Aptos Display" w:hAnsi="Aptos Display"/>
        </w:rPr>
      </w:pPr>
    </w:p>
    <w:tbl>
      <w:tblPr>
        <w:tblStyle w:val="TableGrid"/>
        <w:tblW w:w="9563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4163"/>
        <w:gridCol w:w="3221"/>
        <w:gridCol w:w="2179"/>
      </w:tblGrid>
      <w:tr w:rsidR="00F40D67" w:rsidRPr="00F40D67" w14:paraId="1D54DE67" w14:textId="77777777" w:rsidTr="00F40D67">
        <w:trPr>
          <w:trHeight w:val="690"/>
        </w:trPr>
        <w:tc>
          <w:tcPr>
            <w:tcW w:w="4163" w:type="dxa"/>
            <w:shd w:val="clear" w:color="auto" w:fill="9E1B32"/>
            <w:vAlign w:val="center"/>
          </w:tcPr>
          <w:p w14:paraId="4DBF4DEF" w14:textId="5997F99A" w:rsidR="00D17FE8" w:rsidRPr="00F40D67" w:rsidRDefault="00D17FE8" w:rsidP="00F40D67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</w:rPr>
            </w:pPr>
            <w:r w:rsidRPr="00F40D67">
              <w:rPr>
                <w:rFonts w:ascii="Aptos Display" w:hAnsi="Aptos Display"/>
                <w:b/>
                <w:bCs/>
                <w:color w:val="FFFFFF" w:themeColor="background1"/>
              </w:rPr>
              <w:t>Site/Address</w:t>
            </w:r>
          </w:p>
        </w:tc>
        <w:tc>
          <w:tcPr>
            <w:tcW w:w="3221" w:type="dxa"/>
            <w:shd w:val="clear" w:color="auto" w:fill="9E1B32"/>
            <w:vAlign w:val="center"/>
          </w:tcPr>
          <w:p w14:paraId="3F1DA3D0" w14:textId="65840473" w:rsidR="00D17FE8" w:rsidRPr="00F40D67" w:rsidRDefault="00D17FE8" w:rsidP="00F40D67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</w:rPr>
            </w:pPr>
            <w:r w:rsidRPr="00F40D67">
              <w:rPr>
                <w:rFonts w:ascii="Aptos Display" w:hAnsi="Aptos Display"/>
                <w:b/>
                <w:bCs/>
                <w:color w:val="FFFFFF" w:themeColor="background1"/>
              </w:rPr>
              <w:t>Programs Offered</w:t>
            </w:r>
          </w:p>
        </w:tc>
        <w:tc>
          <w:tcPr>
            <w:tcW w:w="2179" w:type="dxa"/>
            <w:shd w:val="clear" w:color="auto" w:fill="9E1B32"/>
            <w:vAlign w:val="center"/>
          </w:tcPr>
          <w:p w14:paraId="387B3FA7" w14:textId="77777777" w:rsidR="00D17FE8" w:rsidRPr="00F40D67" w:rsidRDefault="00D17FE8" w:rsidP="00F40D67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</w:rPr>
            </w:pPr>
            <w:r w:rsidRPr="00F40D67">
              <w:rPr>
                <w:rFonts w:ascii="Aptos Display" w:hAnsi="Aptos Display"/>
                <w:b/>
                <w:bCs/>
                <w:color w:val="FFFFFF" w:themeColor="background1"/>
              </w:rPr>
              <w:t>% of Program</w:t>
            </w:r>
          </w:p>
          <w:p w14:paraId="6F22422B" w14:textId="293D8746" w:rsidR="00D17FE8" w:rsidRPr="00F40D67" w:rsidRDefault="00D17FE8" w:rsidP="00F40D67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</w:rPr>
            </w:pPr>
            <w:r w:rsidRPr="00F40D67">
              <w:rPr>
                <w:rFonts w:ascii="Aptos Display" w:hAnsi="Aptos Display"/>
                <w:b/>
                <w:bCs/>
                <w:color w:val="FFFFFF" w:themeColor="background1"/>
              </w:rPr>
              <w:t>Offered at Site</w:t>
            </w:r>
          </w:p>
        </w:tc>
      </w:tr>
      <w:tr w:rsidR="00D17FE8" w:rsidRPr="00F40D67" w14:paraId="6D06620C" w14:textId="77777777" w:rsidTr="00F40D67">
        <w:trPr>
          <w:trHeight w:val="1677"/>
        </w:trPr>
        <w:tc>
          <w:tcPr>
            <w:tcW w:w="4163" w:type="dxa"/>
            <w:vAlign w:val="center"/>
          </w:tcPr>
          <w:p w14:paraId="28B42984" w14:textId="77777777" w:rsidR="00D17FE8" w:rsidRPr="00F40D67" w:rsidRDefault="00D17FE8" w:rsidP="00F40D67">
            <w:pPr>
              <w:spacing w:before="40" w:after="40"/>
              <w:rPr>
                <w:rFonts w:ascii="Aptos Display" w:hAnsi="Aptos Display"/>
              </w:rPr>
            </w:pPr>
            <w:r w:rsidRPr="00F40D67">
              <w:rPr>
                <w:rFonts w:ascii="Aptos Display" w:hAnsi="Aptos Display"/>
              </w:rPr>
              <w:t>Westhill Institute</w:t>
            </w:r>
          </w:p>
          <w:p w14:paraId="31D713A6" w14:textId="77777777" w:rsidR="00D17FE8" w:rsidRPr="00F40D67" w:rsidRDefault="00D17FE8" w:rsidP="00F40D67">
            <w:pPr>
              <w:spacing w:before="40" w:after="40"/>
              <w:rPr>
                <w:rFonts w:ascii="Aptos Display" w:hAnsi="Aptos Display"/>
              </w:rPr>
            </w:pPr>
            <w:r w:rsidRPr="00F40D67">
              <w:rPr>
                <w:rFonts w:ascii="Aptos Display" w:hAnsi="Aptos Display"/>
              </w:rPr>
              <w:t>Domingo Garcia Ramos 56 Zona Escolar</w:t>
            </w:r>
          </w:p>
          <w:p w14:paraId="27BB2BF6" w14:textId="3482A7FC" w:rsidR="00D17FE8" w:rsidRPr="00F40D67" w:rsidRDefault="00D17FE8" w:rsidP="00F40D67">
            <w:pPr>
              <w:spacing w:before="40" w:after="40"/>
              <w:rPr>
                <w:rFonts w:ascii="Aptos Display" w:hAnsi="Aptos Display"/>
              </w:rPr>
            </w:pPr>
            <w:proofErr w:type="spellStart"/>
            <w:r w:rsidRPr="00F40D67">
              <w:rPr>
                <w:rFonts w:ascii="Aptos Display" w:hAnsi="Aptos Display"/>
              </w:rPr>
              <w:t>Padros</w:t>
            </w:r>
            <w:proofErr w:type="spellEnd"/>
            <w:r w:rsidRPr="00F40D67">
              <w:rPr>
                <w:rFonts w:ascii="Aptos Display" w:hAnsi="Aptos Display"/>
              </w:rPr>
              <w:t xml:space="preserve"> de la Montana</w:t>
            </w:r>
          </w:p>
          <w:p w14:paraId="7D5E87C9" w14:textId="52924F03" w:rsidR="00D17FE8" w:rsidRPr="00F40D67" w:rsidRDefault="00D17FE8" w:rsidP="00F40D67">
            <w:pPr>
              <w:spacing w:before="40" w:after="40"/>
              <w:rPr>
                <w:rFonts w:ascii="Aptos Display" w:hAnsi="Aptos Display"/>
              </w:rPr>
            </w:pPr>
            <w:r w:rsidRPr="00F40D67">
              <w:rPr>
                <w:rFonts w:ascii="Aptos Display" w:hAnsi="Aptos Display"/>
              </w:rPr>
              <w:t>Mexico</w:t>
            </w:r>
          </w:p>
        </w:tc>
        <w:tc>
          <w:tcPr>
            <w:tcW w:w="3221" w:type="dxa"/>
            <w:vAlign w:val="center"/>
          </w:tcPr>
          <w:p w14:paraId="7F520147" w14:textId="6378B193" w:rsidR="00D17FE8" w:rsidRPr="00F40D67" w:rsidRDefault="00D17FE8" w:rsidP="00F40D67">
            <w:pPr>
              <w:spacing w:before="40" w:after="40"/>
              <w:jc w:val="center"/>
              <w:rPr>
                <w:rFonts w:ascii="Aptos Display" w:hAnsi="Aptos Display"/>
              </w:rPr>
            </w:pPr>
            <w:hyperlink r:id="rId4" w:anchor="text" w:history="1">
              <w:r w:rsidRPr="00F40D67">
                <w:rPr>
                  <w:rStyle w:val="Hyperlink"/>
                  <w:rFonts w:ascii="Aptos Display" w:hAnsi="Aptos Display"/>
                </w:rPr>
                <w:t>Elementary Education (MA)</w:t>
              </w:r>
            </w:hyperlink>
          </w:p>
          <w:p w14:paraId="2E8C2880" w14:textId="72D0F3EA" w:rsidR="00D17FE8" w:rsidRPr="00F40D67" w:rsidRDefault="00D17FE8" w:rsidP="00F40D67">
            <w:pPr>
              <w:spacing w:before="40" w:after="40"/>
              <w:jc w:val="center"/>
              <w:rPr>
                <w:rFonts w:ascii="Aptos Display" w:hAnsi="Aptos Display"/>
              </w:rPr>
            </w:pPr>
            <w:hyperlink r:id="rId5" w:history="1">
              <w:r w:rsidRPr="00F40D67">
                <w:rPr>
                  <w:rStyle w:val="Hyperlink"/>
                  <w:rFonts w:ascii="Aptos Display" w:hAnsi="Aptos Display"/>
                </w:rPr>
                <w:t>Secondary Education (MA)</w:t>
              </w:r>
            </w:hyperlink>
          </w:p>
        </w:tc>
        <w:tc>
          <w:tcPr>
            <w:tcW w:w="2179" w:type="dxa"/>
            <w:vAlign w:val="center"/>
          </w:tcPr>
          <w:p w14:paraId="51FA815A" w14:textId="54644C91" w:rsidR="00D17FE8" w:rsidRPr="00F40D67" w:rsidRDefault="00D17FE8" w:rsidP="00F40D67">
            <w:pPr>
              <w:spacing w:before="40" w:after="40"/>
              <w:jc w:val="center"/>
              <w:rPr>
                <w:rFonts w:ascii="Aptos Display" w:hAnsi="Aptos Display"/>
              </w:rPr>
            </w:pPr>
            <w:r w:rsidRPr="00F40D67">
              <w:rPr>
                <w:rFonts w:ascii="Aptos Display" w:hAnsi="Aptos Display"/>
              </w:rPr>
              <w:t>100%</w:t>
            </w:r>
          </w:p>
        </w:tc>
      </w:tr>
      <w:tr w:rsidR="00D17FE8" w:rsidRPr="00F40D67" w14:paraId="6FA9A3CB" w14:textId="77777777" w:rsidTr="00F40D67">
        <w:trPr>
          <w:trHeight w:val="1262"/>
        </w:trPr>
        <w:tc>
          <w:tcPr>
            <w:tcW w:w="4163" w:type="dxa"/>
            <w:vAlign w:val="center"/>
          </w:tcPr>
          <w:p w14:paraId="6C3B5FD3" w14:textId="77777777" w:rsidR="00D17FE8" w:rsidRPr="00F40D67" w:rsidRDefault="00D17FE8" w:rsidP="00F40D67">
            <w:pPr>
              <w:spacing w:before="40" w:after="40"/>
              <w:rPr>
                <w:rFonts w:ascii="Aptos Display" w:hAnsi="Aptos Display"/>
              </w:rPr>
            </w:pPr>
            <w:r w:rsidRPr="00F40D67">
              <w:rPr>
                <w:rFonts w:ascii="Aptos Display" w:hAnsi="Aptos Display"/>
              </w:rPr>
              <w:t>Dauphin Island Sea Lab</w:t>
            </w:r>
          </w:p>
          <w:p w14:paraId="2C6DBD6C" w14:textId="77777777" w:rsidR="00D17FE8" w:rsidRPr="00F40D67" w:rsidRDefault="00D17FE8" w:rsidP="00F40D67">
            <w:pPr>
              <w:spacing w:before="40" w:after="40"/>
              <w:rPr>
                <w:rFonts w:ascii="Aptos Display" w:hAnsi="Aptos Display"/>
              </w:rPr>
            </w:pPr>
            <w:r w:rsidRPr="00F40D67">
              <w:rPr>
                <w:rFonts w:ascii="Aptos Display" w:hAnsi="Aptos Display"/>
              </w:rPr>
              <w:t>101 Bienville Blvd.</w:t>
            </w:r>
          </w:p>
          <w:p w14:paraId="1ACBDCD5" w14:textId="7575348B" w:rsidR="00D17FE8" w:rsidRPr="00F40D67" w:rsidRDefault="00D17FE8" w:rsidP="00F40D67">
            <w:pPr>
              <w:spacing w:before="40" w:after="40"/>
              <w:rPr>
                <w:rFonts w:ascii="Aptos Display" w:hAnsi="Aptos Display"/>
              </w:rPr>
            </w:pPr>
            <w:r w:rsidRPr="00F40D67">
              <w:rPr>
                <w:rFonts w:ascii="Aptos Display" w:hAnsi="Aptos Display"/>
              </w:rPr>
              <w:t>Dauphin Island AL 36528</w:t>
            </w:r>
          </w:p>
        </w:tc>
        <w:tc>
          <w:tcPr>
            <w:tcW w:w="3221" w:type="dxa"/>
            <w:vAlign w:val="center"/>
          </w:tcPr>
          <w:p w14:paraId="3F2CA9FF" w14:textId="5D21CA99" w:rsidR="00D17FE8" w:rsidRPr="00F40D67" w:rsidRDefault="00D17FE8" w:rsidP="00F40D67">
            <w:pPr>
              <w:spacing w:before="40" w:after="40"/>
              <w:jc w:val="center"/>
              <w:rPr>
                <w:rFonts w:ascii="Aptos Display" w:hAnsi="Aptos Display"/>
              </w:rPr>
            </w:pPr>
            <w:hyperlink r:id="rId6" w:history="1">
              <w:r w:rsidRPr="00F40D67">
                <w:rPr>
                  <w:rStyle w:val="Hyperlink"/>
                  <w:rFonts w:ascii="Aptos Display" w:hAnsi="Aptos Display"/>
                </w:rPr>
                <w:t>Marine Science (MS)</w:t>
              </w:r>
            </w:hyperlink>
          </w:p>
          <w:p w14:paraId="3B04113D" w14:textId="6A2DE2DB" w:rsidR="00D17FE8" w:rsidRPr="00F40D67" w:rsidRDefault="00D17FE8" w:rsidP="00F40D67">
            <w:pPr>
              <w:spacing w:before="40" w:after="40"/>
              <w:jc w:val="center"/>
              <w:rPr>
                <w:rFonts w:ascii="Aptos Display" w:hAnsi="Aptos Display"/>
              </w:rPr>
            </w:pPr>
            <w:hyperlink r:id="rId7" w:anchor="text" w:history="1">
              <w:r w:rsidRPr="00F40D67">
                <w:rPr>
                  <w:rStyle w:val="Hyperlink"/>
                  <w:rFonts w:ascii="Aptos Display" w:hAnsi="Aptos Display"/>
                </w:rPr>
                <w:t>Marine Science (BS)</w:t>
              </w:r>
            </w:hyperlink>
          </w:p>
          <w:p w14:paraId="19E3889C" w14:textId="085EB4F4" w:rsidR="00D17FE8" w:rsidRPr="00F40D67" w:rsidRDefault="00D17FE8" w:rsidP="00F40D67">
            <w:pPr>
              <w:spacing w:before="40" w:after="40"/>
              <w:jc w:val="center"/>
              <w:rPr>
                <w:rFonts w:ascii="Aptos Display" w:hAnsi="Aptos Display"/>
              </w:rPr>
            </w:pPr>
            <w:hyperlink r:id="rId8" w:anchor="text" w:history="1">
              <w:r w:rsidRPr="00F40D67">
                <w:rPr>
                  <w:rStyle w:val="Hyperlink"/>
                  <w:rFonts w:ascii="Aptos Display" w:hAnsi="Aptos Display"/>
                </w:rPr>
                <w:t>Biology (PhD)</w:t>
              </w:r>
            </w:hyperlink>
          </w:p>
        </w:tc>
        <w:tc>
          <w:tcPr>
            <w:tcW w:w="2179" w:type="dxa"/>
            <w:vAlign w:val="center"/>
          </w:tcPr>
          <w:p w14:paraId="48FC891C" w14:textId="51B949A9" w:rsidR="00D17FE8" w:rsidRPr="00F40D67" w:rsidRDefault="00D17FE8" w:rsidP="00F40D67">
            <w:pPr>
              <w:spacing w:before="40" w:after="40"/>
              <w:jc w:val="center"/>
              <w:rPr>
                <w:rFonts w:ascii="Aptos Display" w:hAnsi="Aptos Display"/>
              </w:rPr>
            </w:pPr>
            <w:r w:rsidRPr="00F40D67">
              <w:rPr>
                <w:rFonts w:ascii="Aptos Display" w:hAnsi="Aptos Display"/>
              </w:rPr>
              <w:t>50%</w:t>
            </w:r>
            <w:r w:rsidR="00742C17" w:rsidRPr="00F40D67">
              <w:rPr>
                <w:rFonts w:ascii="Aptos Display" w:hAnsi="Aptos Display"/>
              </w:rPr>
              <w:t xml:space="preserve"> or more</w:t>
            </w:r>
          </w:p>
        </w:tc>
      </w:tr>
    </w:tbl>
    <w:p w14:paraId="284805EE" w14:textId="77777777" w:rsidR="00F97ED3" w:rsidRPr="00F40D67" w:rsidRDefault="00F97ED3">
      <w:pPr>
        <w:rPr>
          <w:rFonts w:ascii="Aptos Display" w:hAnsi="Aptos Display"/>
        </w:rPr>
      </w:pPr>
    </w:p>
    <w:sectPr w:rsidR="00F97ED3" w:rsidRPr="00F40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D3"/>
    <w:rsid w:val="000B1D08"/>
    <w:rsid w:val="00156810"/>
    <w:rsid w:val="00742C17"/>
    <w:rsid w:val="00906594"/>
    <w:rsid w:val="00C431EF"/>
    <w:rsid w:val="00D17FE8"/>
    <w:rsid w:val="00E106C9"/>
    <w:rsid w:val="00F233D3"/>
    <w:rsid w:val="00F40D67"/>
    <w:rsid w:val="00F95CD4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F478"/>
  <w15:chartTrackingRefBased/>
  <w15:docId w15:val="{4C976A07-F106-4C20-B927-379652E5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7F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D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a.edu/graduate/arts-sciences/biological-sciences/ph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talog.ua.edu/undergraduate/arts-sciences/biological-sciences/marine-science-b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ua.edu/graduate/arts-sciences/biological-sciences/marine-science-ms/" TargetMode="External"/><Relationship Id="rId5" Type="http://schemas.openxmlformats.org/officeDocument/2006/relationships/hyperlink" Target="https://catalog.ua.edu/graduate/education/curriculum-instruction/secondary-education-m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atalog.ua.edu/graduate/education/curriculum-instruction/elementary-education-m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930</Characters>
  <Application>Microsoft Office Word</Application>
  <DocSecurity>0</DocSecurity>
  <Lines>44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Ginger</dc:creator>
  <cp:keywords/>
  <dc:description/>
  <cp:lastModifiedBy>Toni Dismukes</cp:lastModifiedBy>
  <cp:revision>3</cp:revision>
  <dcterms:created xsi:type="dcterms:W3CDTF">2025-04-21T15:50:00Z</dcterms:created>
  <dcterms:modified xsi:type="dcterms:W3CDTF">2025-04-21T17:59:00Z</dcterms:modified>
</cp:coreProperties>
</file>